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C991" w14:textId="72B9C391" w:rsidR="00AF6A67" w:rsidRPr="00AF6A67" w:rsidRDefault="008F10E3" w:rsidP="00AF6A67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ICC Minutes</w:t>
      </w:r>
      <w:r w:rsidR="00AF6A67" w:rsidRPr="00AF6A67">
        <w:rPr>
          <w:rFonts w:ascii="Arial" w:hAnsi="Arial" w:cs="Arial"/>
          <w:b/>
          <w:bCs/>
          <w:color w:val="000000"/>
          <w:sz w:val="20"/>
          <w:szCs w:val="20"/>
        </w:rPr>
        <w:t xml:space="preserve"> for Tuesday February 9, 2016</w:t>
      </w:r>
    </w:p>
    <w:p w14:paraId="1C2F7B19" w14:textId="77777777" w:rsidR="00AF6A67" w:rsidRPr="00AF6A67" w:rsidRDefault="00AF6A67" w:rsidP="00AF6A67">
      <w:pPr>
        <w:widowControl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F6A67">
        <w:rPr>
          <w:rFonts w:ascii="Arial" w:hAnsi="Arial" w:cs="Arial"/>
          <w:b/>
          <w:bCs/>
          <w:color w:val="000000"/>
          <w:sz w:val="20"/>
          <w:szCs w:val="20"/>
        </w:rPr>
        <w:t>NHE 106</w:t>
      </w:r>
    </w:p>
    <w:p w14:paraId="64922321" w14:textId="77777777" w:rsidR="00AF6A67" w:rsidRPr="000A3DFC" w:rsidRDefault="00AF6A67" w:rsidP="00AF6A67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AF6A67">
        <w:rPr>
          <w:rFonts w:ascii="Arial" w:hAnsi="Arial" w:cs="Arial"/>
          <w:b/>
          <w:bCs/>
          <w:color w:val="000000"/>
          <w:sz w:val="20"/>
          <w:szCs w:val="20"/>
        </w:rPr>
        <w:t xml:space="preserve">9:00 a.m. - 11:00 a.m. </w:t>
      </w:r>
    </w:p>
    <w:p w14:paraId="555A99E7" w14:textId="77777777" w:rsidR="00AF6A67" w:rsidRPr="00AF6A67" w:rsidRDefault="00AF6A67" w:rsidP="00AF6A67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FCF28DC" w14:textId="77777777" w:rsidR="00AF6A67" w:rsidRPr="00AF6A67" w:rsidRDefault="00AF6A67" w:rsidP="00AF6A67">
      <w:pPr>
        <w:widowControl w:val="0"/>
        <w:rPr>
          <w:rFonts w:ascii="Arial" w:hAnsi="Arial" w:cs="Arial"/>
          <w:sz w:val="20"/>
          <w:szCs w:val="20"/>
        </w:rPr>
      </w:pPr>
      <w:r w:rsidRPr="00AF6A67">
        <w:rPr>
          <w:rFonts w:ascii="Arial" w:hAnsi="Arial" w:cs="Arial"/>
          <w:b/>
          <w:bCs/>
          <w:color w:val="000000"/>
          <w:sz w:val="20"/>
          <w:szCs w:val="20"/>
        </w:rPr>
        <w:t>ICC Members:</w:t>
      </w:r>
    </w:p>
    <w:p w14:paraId="195F2FA7" w14:textId="77777777" w:rsidR="00AF6A67" w:rsidRPr="00AF6A67" w:rsidRDefault="00AF6A67" w:rsidP="00AF6A67">
      <w:pPr>
        <w:widowControl w:val="0"/>
        <w:rPr>
          <w:rFonts w:ascii="Arial" w:hAnsi="Arial" w:cs="Arial"/>
          <w:sz w:val="20"/>
          <w:szCs w:val="20"/>
        </w:rPr>
      </w:pPr>
      <w:r w:rsidRPr="00AF6A67">
        <w:rPr>
          <w:rFonts w:ascii="Arial" w:hAnsi="Arial" w:cs="Arial"/>
          <w:b/>
          <w:bCs/>
          <w:color w:val="000000"/>
          <w:sz w:val="20"/>
          <w:szCs w:val="20"/>
        </w:rPr>
        <w:t>AMP:</w:t>
      </w:r>
      <w:r w:rsidRPr="00AF6A67">
        <w:rPr>
          <w:rFonts w:ascii="Arial" w:hAnsi="Arial" w:cs="Arial"/>
          <w:color w:val="000000"/>
          <w:sz w:val="20"/>
          <w:szCs w:val="20"/>
        </w:rPr>
        <w:t xml:space="preserve"> Rock Braithwaite, </w:t>
      </w:r>
      <w:proofErr w:type="spellStart"/>
      <w:r w:rsidRPr="00AF6A67">
        <w:rPr>
          <w:rFonts w:ascii="Arial" w:hAnsi="Arial" w:cs="Arial"/>
          <w:color w:val="000000"/>
          <w:sz w:val="20"/>
          <w:szCs w:val="20"/>
        </w:rPr>
        <w:t>Jená</w:t>
      </w:r>
      <w:proofErr w:type="spellEnd"/>
      <w:r w:rsidRPr="00AF6A67">
        <w:rPr>
          <w:rFonts w:ascii="Arial" w:hAnsi="Arial" w:cs="Arial"/>
          <w:color w:val="000000"/>
          <w:sz w:val="20"/>
          <w:szCs w:val="20"/>
        </w:rPr>
        <w:t xml:space="preserve"> Burges, Matthew Dean, David Greene, Carl Hansen, Matthew Hurst, Cindy Moyer, Sarah Fay Philips, Clint </w:t>
      </w:r>
      <w:proofErr w:type="spellStart"/>
      <w:r w:rsidRPr="00AF6A67">
        <w:rPr>
          <w:rFonts w:ascii="Arial" w:hAnsi="Arial" w:cs="Arial"/>
          <w:color w:val="000000"/>
          <w:sz w:val="20"/>
          <w:szCs w:val="20"/>
        </w:rPr>
        <w:t>Rebik</w:t>
      </w:r>
      <w:proofErr w:type="spellEnd"/>
      <w:r w:rsidRPr="00AF6A67">
        <w:rPr>
          <w:rFonts w:ascii="Arial" w:hAnsi="Arial" w:cs="Arial"/>
          <w:color w:val="000000"/>
          <w:sz w:val="20"/>
          <w:szCs w:val="20"/>
        </w:rPr>
        <w:t xml:space="preserve">, Rick </w:t>
      </w:r>
      <w:proofErr w:type="spellStart"/>
      <w:r w:rsidRPr="00AF6A67">
        <w:rPr>
          <w:rFonts w:ascii="Arial" w:hAnsi="Arial" w:cs="Arial"/>
          <w:color w:val="000000"/>
          <w:sz w:val="20"/>
          <w:szCs w:val="20"/>
        </w:rPr>
        <w:t>Zechman</w:t>
      </w:r>
      <w:proofErr w:type="spellEnd"/>
      <w:r w:rsidRPr="00AF6A67">
        <w:rPr>
          <w:rFonts w:ascii="Arial" w:hAnsi="Arial" w:cs="Arial"/>
          <w:color w:val="000000"/>
          <w:sz w:val="20"/>
          <w:szCs w:val="20"/>
        </w:rPr>
        <w:t xml:space="preserve">, Noah </w:t>
      </w:r>
      <w:proofErr w:type="spellStart"/>
      <w:r w:rsidRPr="00AF6A67">
        <w:rPr>
          <w:rFonts w:ascii="Arial" w:hAnsi="Arial" w:cs="Arial"/>
          <w:color w:val="000000"/>
          <w:sz w:val="20"/>
          <w:szCs w:val="20"/>
        </w:rPr>
        <w:t>Zerbe</w:t>
      </w:r>
      <w:proofErr w:type="spellEnd"/>
      <w:r w:rsidRPr="00AF6A6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6A67">
        <w:rPr>
          <w:rFonts w:ascii="Arial" w:hAnsi="Arial" w:cs="Arial"/>
          <w:color w:val="FF2600"/>
          <w:sz w:val="20"/>
          <w:szCs w:val="20"/>
        </w:rPr>
        <w:t>Grad Council Rep</w:t>
      </w:r>
    </w:p>
    <w:p w14:paraId="73B3E831" w14:textId="77777777" w:rsidR="00AF6A67" w:rsidRPr="00AF6A67" w:rsidRDefault="00AF6A67" w:rsidP="00AF6A67">
      <w:pPr>
        <w:widowControl w:val="0"/>
        <w:rPr>
          <w:rFonts w:ascii="Arial" w:hAnsi="Arial" w:cs="Arial"/>
          <w:sz w:val="20"/>
          <w:szCs w:val="20"/>
        </w:rPr>
      </w:pPr>
      <w:proofErr w:type="gramStart"/>
      <w:r w:rsidRPr="00AF6A67">
        <w:rPr>
          <w:rFonts w:ascii="Arial" w:hAnsi="Arial" w:cs="Arial"/>
          <w:b/>
          <w:bCs/>
          <w:color w:val="000000"/>
          <w:sz w:val="20"/>
          <w:szCs w:val="20"/>
        </w:rPr>
        <w:t>CDC</w:t>
      </w:r>
      <w:r w:rsidRPr="00AF6A67">
        <w:rPr>
          <w:rFonts w:ascii="Arial" w:hAnsi="Arial" w:cs="Arial"/>
          <w:color w:val="000000"/>
          <w:sz w:val="20"/>
          <w:szCs w:val="20"/>
        </w:rPr>
        <w:t>:,</w:t>
      </w:r>
      <w:proofErr w:type="gramEnd"/>
      <w:r w:rsidRPr="00AF6A67">
        <w:rPr>
          <w:rFonts w:ascii="Arial" w:hAnsi="Arial" w:cs="Arial"/>
          <w:color w:val="000000"/>
          <w:sz w:val="20"/>
          <w:szCs w:val="20"/>
        </w:rPr>
        <w:t xml:space="preserve"> Ricardo </w:t>
      </w:r>
      <w:proofErr w:type="spellStart"/>
      <w:r w:rsidRPr="00AF6A67">
        <w:rPr>
          <w:rFonts w:ascii="Arial" w:hAnsi="Arial" w:cs="Arial"/>
          <w:color w:val="000000"/>
          <w:sz w:val="20"/>
          <w:szCs w:val="20"/>
        </w:rPr>
        <w:t>Febre</w:t>
      </w:r>
      <w:proofErr w:type="spellEnd"/>
      <w:r w:rsidRPr="00AF6A67">
        <w:rPr>
          <w:rFonts w:ascii="Arial" w:hAnsi="Arial" w:cs="Arial"/>
          <w:color w:val="000000"/>
          <w:sz w:val="20"/>
          <w:szCs w:val="20"/>
        </w:rPr>
        <w:t>, Gregg Gold, Bruce O’Gara, Jenni Robinson, Jodie Slack</w:t>
      </w:r>
    </w:p>
    <w:p w14:paraId="57DF876D" w14:textId="77777777" w:rsidR="00AF6A67" w:rsidRPr="00AF6A67" w:rsidRDefault="00AF6A67" w:rsidP="00AF6A67">
      <w:pPr>
        <w:widowControl w:val="0"/>
        <w:rPr>
          <w:rFonts w:ascii="Arial" w:hAnsi="Arial" w:cs="Arial"/>
          <w:sz w:val="20"/>
          <w:szCs w:val="20"/>
        </w:rPr>
      </w:pPr>
      <w:r w:rsidRPr="00AF6A67">
        <w:rPr>
          <w:rFonts w:ascii="Arial" w:hAnsi="Arial" w:cs="Arial"/>
          <w:b/>
          <w:bCs/>
          <w:color w:val="000000"/>
          <w:sz w:val="20"/>
          <w:szCs w:val="20"/>
        </w:rPr>
        <w:t>GEAR:</w:t>
      </w:r>
      <w:r w:rsidRPr="00AF6A67">
        <w:rPr>
          <w:rFonts w:ascii="Arial" w:hAnsi="Arial" w:cs="Arial"/>
          <w:color w:val="000000"/>
          <w:sz w:val="20"/>
          <w:szCs w:val="20"/>
        </w:rPr>
        <w:t xml:space="preserve">  Mary Dingle</w:t>
      </w:r>
    </w:p>
    <w:p w14:paraId="355B4288" w14:textId="77777777" w:rsidR="00AF6A67" w:rsidRPr="00AF6A67" w:rsidRDefault="00AF6A67" w:rsidP="00AF6A67">
      <w:pPr>
        <w:widowControl w:val="0"/>
        <w:rPr>
          <w:rFonts w:ascii="Arial" w:hAnsi="Arial" w:cs="Arial"/>
          <w:sz w:val="20"/>
          <w:szCs w:val="20"/>
        </w:rPr>
      </w:pPr>
      <w:r w:rsidRPr="00AF6A67">
        <w:rPr>
          <w:rFonts w:ascii="Arial" w:hAnsi="Arial" w:cs="Arial"/>
          <w:color w:val="000000"/>
          <w:sz w:val="20"/>
          <w:szCs w:val="20"/>
        </w:rPr>
        <w:t>APC:  Andrew Stubblefield</w:t>
      </w:r>
    </w:p>
    <w:p w14:paraId="09141E65" w14:textId="77777777" w:rsidR="00AF6A67" w:rsidRPr="00AF6A67" w:rsidRDefault="00AF6A67" w:rsidP="00AF6A67">
      <w:pPr>
        <w:widowControl w:val="0"/>
        <w:rPr>
          <w:rFonts w:ascii="Arial" w:hAnsi="Arial" w:cs="Arial"/>
          <w:sz w:val="20"/>
          <w:szCs w:val="20"/>
        </w:rPr>
      </w:pPr>
      <w:r w:rsidRPr="00AF6A67">
        <w:rPr>
          <w:rFonts w:ascii="Arial" w:hAnsi="Arial" w:cs="Arial"/>
          <w:b/>
          <w:bCs/>
          <w:color w:val="000000"/>
          <w:sz w:val="20"/>
          <w:szCs w:val="20"/>
        </w:rPr>
        <w:t xml:space="preserve">Guest: </w:t>
      </w:r>
      <w:r w:rsidRPr="00AF6A67">
        <w:rPr>
          <w:rFonts w:ascii="Arial" w:hAnsi="Arial" w:cs="Arial"/>
          <w:color w:val="000000"/>
          <w:sz w:val="20"/>
          <w:szCs w:val="20"/>
        </w:rPr>
        <w:t>Bill Reynolds   </w:t>
      </w:r>
    </w:p>
    <w:p w14:paraId="63DECB00" w14:textId="77777777" w:rsidR="00AF6A67" w:rsidRPr="00AF6A67" w:rsidRDefault="00AF6A67" w:rsidP="00AF6A67">
      <w:pPr>
        <w:widowControl w:val="0"/>
        <w:rPr>
          <w:rFonts w:ascii="Arial" w:hAnsi="Arial" w:cs="Arial"/>
          <w:sz w:val="20"/>
          <w:szCs w:val="20"/>
        </w:rPr>
      </w:pPr>
      <w:r w:rsidRPr="00AF6A67">
        <w:rPr>
          <w:rFonts w:ascii="Arial" w:hAnsi="Arial" w:cs="Arial"/>
          <w:b/>
          <w:bCs/>
          <w:color w:val="000000"/>
          <w:sz w:val="20"/>
          <w:szCs w:val="20"/>
        </w:rPr>
        <w:t>Minutes-taker:  </w:t>
      </w:r>
      <w:r w:rsidRPr="00AF6A67">
        <w:rPr>
          <w:rFonts w:ascii="Arial" w:hAnsi="Arial" w:cs="Arial"/>
          <w:color w:val="000000"/>
          <w:sz w:val="20"/>
          <w:szCs w:val="20"/>
        </w:rPr>
        <w:t>Victoria Bruner</w:t>
      </w:r>
      <w:r w:rsidRPr="00AF6A6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51EB5AF" w14:textId="77777777" w:rsidR="00AF6A67" w:rsidRPr="00AF6A67" w:rsidRDefault="00AF6A67" w:rsidP="00AF6A67">
      <w:pPr>
        <w:widowControl w:val="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4310"/>
      </w:tblGrid>
      <w:tr w:rsidR="00AF6A67" w:rsidRPr="000A3DFC" w14:paraId="0A2AADBD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CEFFD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 Approval of 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Minutes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F88A9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Minutes from January 19th Approved </w:t>
            </w:r>
          </w:p>
        </w:tc>
      </w:tr>
      <w:tr w:rsidR="00AF6A67" w:rsidRPr="000A3DFC" w14:paraId="64AE315C" w14:textId="77777777" w:rsidTr="00AF6A67">
        <w:trPr>
          <w:trHeight w:val="1437"/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7E655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 Consent Calendar – as Info Items:</w:t>
            </w:r>
          </w:p>
          <w:p w14:paraId="212C06F9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15-196</w:t>
            </w:r>
          </w:p>
          <w:p w14:paraId="31144BDC" w14:textId="5B909254" w:rsidR="00AF6A67" w:rsidRPr="000A3DFC" w:rsidRDefault="008F10E3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>SYC 320:  Behavior Analysis:  Add PSYC 240 as a possible pre-</w:t>
            </w:r>
            <w:proofErr w:type="spellStart"/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- the department now offers students a choice of three courses (240, 241, and 242) that can ser</w:t>
            </w:r>
            <w:r w:rsidR="00AF6A67" w:rsidRPr="000A3DFC">
              <w:rPr>
                <w:rFonts w:ascii="Arial" w:hAnsi="Arial" w:cs="Arial"/>
                <w:color w:val="000000"/>
                <w:sz w:val="20"/>
                <w:szCs w:val="20"/>
              </w:rPr>
              <w:t>ve as pre-</w:t>
            </w:r>
            <w:proofErr w:type="spellStart"/>
            <w:r w:rsidR="00AF6A67" w:rsidRPr="000A3DFC">
              <w:rPr>
                <w:rFonts w:ascii="Arial" w:hAnsi="Arial" w:cs="Arial"/>
                <w:color w:val="000000"/>
                <w:sz w:val="20"/>
                <w:szCs w:val="20"/>
              </w:rPr>
              <w:t>reqs</w:t>
            </w:r>
            <w:proofErr w:type="spellEnd"/>
            <w:r w:rsidR="00AF6A67" w:rsidRPr="000A3DFC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this course.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AF02BF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 Consent Calendar </w:t>
            </w:r>
          </w:p>
          <w:p w14:paraId="3F0952B2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15-196</w:t>
            </w:r>
          </w:p>
          <w:p w14:paraId="63B65380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644CBB05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88ACA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15-197</w:t>
            </w:r>
          </w:p>
          <w:p w14:paraId="21E11E3C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PSYC 322:  Learning and Motivation:  Add PSYC 240 as a possible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- the department now offers students a choice of two courses (240 and 242) that can serve as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reqs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this course.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195C6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15-197</w:t>
            </w:r>
          </w:p>
          <w:p w14:paraId="58EBACB0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5C5D1793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AF9BE9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15-198</w:t>
            </w:r>
          </w:p>
          <w:p w14:paraId="61FD2577" w14:textId="47928EC0" w:rsidR="00AF6A67" w:rsidRPr="00AF6A67" w:rsidRDefault="008F10E3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 32</w:t>
            </w:r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>3:  Sensation &amp; Perception:  Add PSYC 240 as a possible pre-</w:t>
            </w:r>
            <w:proofErr w:type="spellStart"/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- the department now offers students a choice of two courses (240 and 242) that can serve as pre-</w:t>
            </w:r>
            <w:proofErr w:type="spellStart"/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>reqs</w:t>
            </w:r>
            <w:proofErr w:type="spellEnd"/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this course.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32EC1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15-198</w:t>
            </w:r>
          </w:p>
          <w:p w14:paraId="74758ADC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0988992F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E53C4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15-199</w:t>
            </w:r>
          </w:p>
          <w:p w14:paraId="0FC07F97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PSYC 324:  Cognitive Psychology:  Add PSYC 240 as a possible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- the department now offers students a choice of two courses (240 and 242) that can serve as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reqs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this course.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B8138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15-199</w:t>
            </w:r>
          </w:p>
          <w:p w14:paraId="73C9387A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774A3398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95319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15-200</w:t>
            </w:r>
          </w:p>
          <w:p w14:paraId="5BA5DAAB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PSYC 324D:  Cognitive Psychology Discussion:  This course provides additional depth of learning for students in the Graduate school preparation pathway - and is taken at the same time as 324.  Previously, PSYC 242 has been a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could be taken concurrently.  With this change, students will have to complete 242 before they take 324 because they need all the skills from 242 to succeed in 324.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2C43E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15-200</w:t>
            </w:r>
          </w:p>
          <w:p w14:paraId="3EEF2423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20167790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A4919" w14:textId="77777777" w:rsidR="00AF6A67" w:rsidRPr="000A3DFC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15-201</w:t>
            </w:r>
          </w:p>
          <w:p w14:paraId="43C34017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PSYC 325:  Advanced Behavioral Neuroscience:  change the 242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so it cannot be taken concurrently because students need all the skills from 242 to succeed in 325.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E7D82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15-201</w:t>
            </w:r>
          </w:p>
          <w:p w14:paraId="73A1C52E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5F358DF2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5A0EA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15-202</w:t>
            </w:r>
          </w:p>
          <w:p w14:paraId="222ADD11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PSYC 335:  Social </w:t>
            </w:r>
            <w:proofErr w:type="gram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Psychology;  add</w:t>
            </w:r>
            <w:proofErr w:type="gram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240 as a possible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(so students can use either 240 or 242 as a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course), and  change the 242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so it cannot be taken concurrently because students need all the skills from 242 to succeed in 335.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6FA785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15-202</w:t>
            </w:r>
          </w:p>
          <w:p w14:paraId="137A8B10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22FC386D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37267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15-203</w:t>
            </w:r>
          </w:p>
          <w:p w14:paraId="4798AC10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PSYC 335D:  Social Psychology Discussion:  This course provides additional depth of learning for students in the Graduate school preparation pathway - and is taken at the same time as 335.  Previously, PSYC 242 has been a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could be taken concurrently.  With this change, students will have to complete 242 before they take 335 because they need all the skills from 242 to succeed in 335.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DC910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15-203</w:t>
            </w:r>
          </w:p>
          <w:p w14:paraId="76E75030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796F0456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D7228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15-204</w:t>
            </w:r>
          </w:p>
          <w:p w14:paraId="3BE14A17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PSYC 337:  Personality Theory &amp; </w:t>
            </w:r>
            <w:proofErr w:type="gram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Research;  add</w:t>
            </w:r>
            <w:proofErr w:type="gram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240 as a possible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(so students can use either 240 or 242 as a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course), and  change the 242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so it cannot be taken concurrently because students need all the skills from 242 to succeed in 337.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41ADD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15-204</w:t>
            </w:r>
          </w:p>
          <w:p w14:paraId="65E76733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0EB5BFC1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065E44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15-204</w:t>
            </w:r>
          </w:p>
          <w:p w14:paraId="165B1678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PSYC 337:  Personality Theory &amp; </w:t>
            </w:r>
            <w:proofErr w:type="gram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Research;  add</w:t>
            </w:r>
            <w:proofErr w:type="gram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240 as a possible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(so students can use either 240 or 242 as a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course), and  change the 242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so it cannot be taken concurrently because students need all the skills from 242 to succeed in 337.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9C32C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15-204</w:t>
            </w:r>
          </w:p>
          <w:p w14:paraId="3D41570F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61F105FA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A18C4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15-205</w:t>
            </w:r>
          </w:p>
          <w:p w14:paraId="65E5063F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PSYC 337D:  Personality Theory &amp; Research Discussion:  This course provides additional depth of learning for students in the Graduate school preparation pathway - and is taken at the same time as 337.  Previously, PSYC 242 has been a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could be taken concurrently.  With this change, students will have to complete 242 before they take 337 because they need all the skills from 242 to succeed in 337.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D8039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15-205</w:t>
            </w:r>
          </w:p>
          <w:p w14:paraId="529CBC4F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435270DD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F3B82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15-206</w:t>
            </w:r>
          </w:p>
          <w:p w14:paraId="0A1AD574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PSYC 438:  Dynamics of Abnormal </w:t>
            </w:r>
            <w:proofErr w:type="gram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Behavior;  add</w:t>
            </w:r>
            <w:proofErr w:type="gram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240 as a possible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(so students can use either 240 or 242 as a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course), and  change the 242 pre-</w:t>
            </w:r>
            <w:proofErr w:type="spellStart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req</w:t>
            </w:r>
            <w:proofErr w:type="spellEnd"/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so it cannot be taken concurrently because students need all the skills from 242 to succeed in 438.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B73EB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15-206</w:t>
            </w:r>
          </w:p>
          <w:p w14:paraId="151AE1BB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- Postponed</w:t>
            </w:r>
          </w:p>
        </w:tc>
      </w:tr>
      <w:tr w:rsidR="00AF6A67" w:rsidRPr="000A3DFC" w14:paraId="15AC2B69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0B563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 APC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 Direct Resolutions</w:t>
            </w:r>
          </w:p>
          <w:p w14:paraId="17FB6E69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Either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4"/>
            </w:tblGrid>
            <w:tr w:rsidR="00AF6A67" w:rsidRPr="00AF6A67" w14:paraId="76775922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C764A6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Standardization and Use of Degree Maps</w:t>
                  </w:r>
                </w:p>
                <w:p w14:paraId="336CF81E" w14:textId="77777777" w:rsidR="00B37CAB" w:rsidRPr="00AF6A67" w:rsidRDefault="00B37CAB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F6A67" w:rsidRPr="00AF6A67" w14:paraId="2F79474B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BA35D11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Resolution on Mandatory use of </w:t>
                  </w:r>
                  <w:proofErr w:type="spellStart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</w:p>
                <w:p w14:paraId="25364EC9" w14:textId="77777777" w:rsidR="00AF6A67" w:rsidRPr="00AF6A67" w:rsidRDefault="00AF6A67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F6A67" w:rsidRPr="00AF6A67" w14:paraId="0B60016C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AB0CCA8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Degree Maps</w:t>
                  </w:r>
                </w:p>
                <w:p w14:paraId="65B88BBF" w14:textId="77777777" w:rsidR="00AF6A67" w:rsidRPr="000A3DFC" w:rsidRDefault="00A069B4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A3DF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0A3DF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0A3DF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0A3DFC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  <w:p w14:paraId="4BA81CA7" w14:textId="73D5F860" w:rsidR="000A3DFC" w:rsidRPr="00AF6A67" w:rsidRDefault="000A3DFC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F6A67" w:rsidRPr="00AF6A67" w14:paraId="17DAAC35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233C09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the Replacement of Paper Major Contracts</w:t>
                  </w:r>
                </w:p>
                <w:p w14:paraId="4BC32120" w14:textId="77777777" w:rsidR="00AF6A67" w:rsidRPr="00AF6A67" w:rsidRDefault="00AF6A67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F6A67" w:rsidRPr="00AF6A67" w14:paraId="45351A49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B0D3017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Resolution on Implementation and Oversight of </w:t>
                  </w:r>
                  <w:proofErr w:type="spellStart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</w:p>
                <w:p w14:paraId="03FABD19" w14:textId="646BFA22" w:rsidR="00B37CAB" w:rsidRPr="00AF6A67" w:rsidRDefault="00AF6A67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F6A6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 w:rsidRPr="00AF6A6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  <w:tr w:rsidR="00AF6A67" w:rsidRPr="00AF6A67" w14:paraId="608A29F2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D67D31B" w14:textId="77777777" w:rsidR="00B37CAB" w:rsidRDefault="00B37CAB" w:rsidP="00AF6A67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13E30D2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Registration Priority and Milestones</w:t>
                  </w:r>
                </w:p>
                <w:p w14:paraId="69E3BB02" w14:textId="5C4C94C0" w:rsidR="00B37CAB" w:rsidRPr="00AF6A67" w:rsidRDefault="00B37CAB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2F780A2C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2B0AFC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4"/>
            </w:tblGrid>
            <w:tr w:rsidR="00AF6A67" w:rsidRPr="00AF6A67" w14:paraId="0B3D7ECC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D512696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single Comprehensive </w:t>
                  </w:r>
                  <w:proofErr w:type="spellStart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resolution</w:t>
                  </w:r>
                </w:p>
                <w:p w14:paraId="1D421572" w14:textId="5BA953E7" w:rsidR="00B37CAB" w:rsidRPr="00AF6A67" w:rsidRDefault="00AF6A67" w:rsidP="00AF6A67">
                  <w:pPr>
                    <w:widowControl w:val="0"/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51361D6B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136C63" w14:textId="77777777" w:rsidR="00AF6A67" w:rsidRPr="000A3DFC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 APC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 Direct Resolutions</w:t>
            </w:r>
          </w:p>
          <w:p w14:paraId="1831D5A1" w14:textId="77777777" w:rsidR="00A069B4" w:rsidRPr="00AF6A67" w:rsidRDefault="00A069B4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4"/>
            </w:tblGrid>
            <w:tr w:rsidR="00AF6A67" w:rsidRPr="00AF6A67" w14:paraId="01ED0A9C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DD35CA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Standardization and Use of Degree Maps</w:t>
                  </w:r>
                </w:p>
                <w:p w14:paraId="236557FB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It was recommended that the word </w:t>
                  </w:r>
                  <w:proofErr w:type="spellStart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be replaced with: Degree planning software.</w:t>
                  </w:r>
                </w:p>
              </w:tc>
            </w:tr>
            <w:tr w:rsidR="00AF6A67" w:rsidRPr="00AF6A67" w14:paraId="725258B8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DBCAEA7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Resolution on Mandatory use of </w:t>
                  </w:r>
                  <w:proofErr w:type="spellStart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</w:p>
                <w:p w14:paraId="4A852E69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committee discussed that if </w:t>
                  </w:r>
                  <w:proofErr w:type="spellStart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is in place, it would be mandatory. </w:t>
                  </w:r>
                  <w:r w:rsidR="00A069B4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Resolved.</w:t>
                  </w:r>
                </w:p>
              </w:tc>
            </w:tr>
            <w:tr w:rsidR="00AF6A67" w:rsidRPr="00AF6A67" w14:paraId="5889CB78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C227E3B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Degree Maps</w:t>
                  </w:r>
                </w:p>
                <w:p w14:paraId="32519326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It was suggested that </w:t>
                  </w:r>
                  <w:proofErr w:type="spellStart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write a degree map for transfer students. </w:t>
                  </w:r>
                </w:p>
                <w:p w14:paraId="7E86D9FD" w14:textId="77777777" w:rsidR="00AF6A67" w:rsidRPr="00AF6A67" w:rsidRDefault="00AF6A67" w:rsidP="00AF6A67">
                  <w:pPr>
                    <w:widowControl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665C02A" w14:textId="77777777" w:rsidR="00AF6A67" w:rsidRPr="00AF6A67" w:rsidRDefault="00A069B4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Some </w:t>
                  </w:r>
                  <w:r w:rsidR="00AF6A67"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members expressed concern with super seniors shutting out underclassmen in GE major classes. The ICC wonders how Degree Maps will suggest a pathway and timing. </w:t>
                  </w:r>
                  <w:r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 Resolved. </w:t>
                  </w:r>
                </w:p>
              </w:tc>
            </w:tr>
            <w:tr w:rsidR="00AF6A67" w:rsidRPr="00AF6A67" w14:paraId="638217BE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94FADFC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the Replacement of Paper Major Contracts</w:t>
                  </w:r>
                </w:p>
                <w:p w14:paraId="40D26BE5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committee discussed that </w:t>
                  </w:r>
                  <w:proofErr w:type="spellStart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will draw information from DARS. </w:t>
                  </w:r>
                  <w:r w:rsidR="00A069B4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Resolved.</w:t>
                  </w:r>
                </w:p>
              </w:tc>
            </w:tr>
            <w:tr w:rsidR="00AF6A67" w:rsidRPr="00AF6A67" w14:paraId="5FB302DC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0D5AEEA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Resolution on Implementation and Oversight of </w:t>
                  </w:r>
                  <w:proofErr w:type="spellStart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</w:p>
                <w:p w14:paraId="70A40725" w14:textId="41C5D997" w:rsidR="00AF6A67" w:rsidRPr="00AF6A67" w:rsidRDefault="00AF6A67" w:rsidP="00A069B4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It was recommended that Andrew introduce </w:t>
                  </w:r>
                  <w:proofErr w:type="spellStart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as an omnibus, keeping only policy issues. At the first reading, if the senate pulls components out, then he could bring those refined items back at the second reading. </w:t>
                  </w:r>
                  <w:r w:rsidR="000A3DFC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Resolution pending.</w:t>
                  </w:r>
                </w:p>
              </w:tc>
            </w:tr>
            <w:tr w:rsidR="00AF6A67" w:rsidRPr="00AF6A67" w14:paraId="7DCA510A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181ABD4" w14:textId="3FC96C3E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 on Registration Priority and Milestones</w:t>
                  </w:r>
                </w:p>
                <w:p w14:paraId="16A9D22A" w14:textId="639B6454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committee </w:t>
                  </w:r>
                  <w:r w:rsidR="000918AE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recommended </w:t>
                  </w: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that guidelines for milestones be written in the implementation phase.</w:t>
                  </w:r>
                  <w:r w:rsidRPr="00AF6A67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14:paraId="0BF04956" w14:textId="77777777" w:rsidR="00AF6A67" w:rsidRPr="00AF6A67" w:rsidRDefault="00AF6A67" w:rsidP="00AF6A67">
                  <w:pPr>
                    <w:widowControl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314F06EC" w14:textId="77777777" w:rsidR="000A3DFC" w:rsidRPr="000A3DFC" w:rsidRDefault="00AF6A67" w:rsidP="00AF6A67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There was some discussion </w:t>
                  </w:r>
                  <w:r w:rsidR="000A3DFC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about how </w:t>
                  </w:r>
                  <w:proofErr w:type="spellStart"/>
                  <w:r w:rsidR="000A3DFC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="000A3DFC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will navigate the Golden Four and 5-yr course rotation plan. </w:t>
                  </w:r>
                </w:p>
                <w:p w14:paraId="574A0F22" w14:textId="0FBC9DC2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4F33724D" w14:textId="53BC1686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The ICC discussed </w:t>
                  </w:r>
                  <w:proofErr w:type="spellStart"/>
                  <w:r w:rsidR="000A3DFC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="000A3DFC"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privilege: </w:t>
                  </w: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“Students that come here with a clear idea, or students with many units to their major?”</w:t>
                  </w:r>
                </w:p>
                <w:p w14:paraId="03B4E3D8" w14:textId="77777777" w:rsidR="00AF6A67" w:rsidRPr="00AF6A67" w:rsidRDefault="00AF6A67" w:rsidP="00AF6A67">
                  <w:pPr>
                    <w:widowControl w:val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4D959036" w14:textId="6F3B5F18" w:rsidR="00AF6A67" w:rsidRPr="00AF6A67" w:rsidRDefault="000A3DFC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="00AF6A67"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ll proponents of </w:t>
                  </w:r>
                  <w:proofErr w:type="spellStart"/>
                  <w:r w:rsidR="00AF6A67"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="00AF6A67"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are recommendations, not resolutions; so that offers some flexibility. </w:t>
                  </w:r>
                  <w:r w:rsidRPr="000A3D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Resolved.</w:t>
                  </w:r>
                </w:p>
              </w:tc>
            </w:tr>
          </w:tbl>
          <w:p w14:paraId="5593DC46" w14:textId="77777777" w:rsidR="00AF6A67" w:rsidRPr="00AF6A67" w:rsidRDefault="00AF6A67" w:rsidP="00AF6A67">
            <w:pPr>
              <w:widowControl w:val="0"/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4"/>
            </w:tblGrid>
            <w:tr w:rsidR="00AF6A67" w:rsidRPr="00AF6A67" w14:paraId="5325A2C0" w14:textId="77777777" w:rsidTr="00AF6A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4765C26" w14:textId="77777777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single Comprehensive </w:t>
                  </w:r>
                  <w:proofErr w:type="spellStart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resolution</w:t>
                  </w:r>
                </w:p>
                <w:p w14:paraId="4B155834" w14:textId="77777777" w:rsidR="00B37CAB" w:rsidRDefault="00AF6A67" w:rsidP="00AF6A67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 resolution was not reached on whether </w:t>
                  </w:r>
                  <w:proofErr w:type="spellStart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UDirect</w:t>
                  </w:r>
                  <w:proofErr w:type="spellEnd"/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will need multiple resolutions, or a single comprehensive resolution. </w:t>
                  </w:r>
                </w:p>
                <w:p w14:paraId="6BB9D4CD" w14:textId="0CE5AA38" w:rsidR="00AF6A67" w:rsidRPr="00AF6A67" w:rsidRDefault="00AF6A67" w:rsidP="00AF6A6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F6A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Not Resolved. </w:t>
                  </w:r>
                </w:p>
              </w:tc>
            </w:tr>
          </w:tbl>
          <w:p w14:paraId="65E17757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A67" w:rsidRPr="000A3DFC" w14:paraId="039E5B94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A16B7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   GEAR </w:t>
            </w:r>
          </w:p>
          <w:p w14:paraId="63162D77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A3D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B16E7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   GEAR </w:t>
            </w:r>
          </w:p>
          <w:p w14:paraId="440A929B" w14:textId="7DC519E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ICC recommends </w:t>
            </w:r>
            <w:r w:rsidR="00B37CAB">
              <w:rPr>
                <w:rFonts w:ascii="Arial" w:hAnsi="Arial" w:cs="Arial"/>
                <w:color w:val="000000"/>
                <w:sz w:val="20"/>
                <w:szCs w:val="20"/>
              </w:rPr>
              <w:t>that SLOs must be able to be ass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essed. It was recommended that changing the verbs would delineate types of evidence.</w:t>
            </w:r>
            <w:r w:rsidRPr="00AF6A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14:paraId="64A7135B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9E7C19" w14:textId="75FF09E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It was resolved that the ICC is the first chair that endorses GEAR</w:t>
            </w:r>
          </w:p>
          <w:p w14:paraId="730BB674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636539" w14:textId="6A65312D" w:rsidR="00AF6A67" w:rsidRPr="00AF6A67" w:rsidRDefault="00B37CAB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ICC recommends 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that this proposal should have consultation with other faculty, before it is taken to the senate.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It was recommended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that the GEAR 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committee</w:t>
            </w:r>
            <w:r w:rsidR="00AF6A67"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turn its attention to assessing the GEAR outcomes. </w:t>
            </w:r>
          </w:p>
          <w:p w14:paraId="372EF088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CE6D6C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Recommended Forthcoming Project: </w:t>
            </w:r>
          </w:p>
          <w:p w14:paraId="70487DCE" w14:textId="0D7BD0FE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The ICC discussed an effort to assess GE classes and learn where</w:t>
            </w:r>
            <w:r w:rsidR="00B37CAB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are, by issuing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a pre and post test of student learning. </w:t>
            </w:r>
          </w:p>
          <w:p w14:paraId="280F432B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90A1DC" w14:textId="2D4D8FF5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There was much discussion on the structure of GE, and where GEAR objectives are met wit</w:t>
            </w:r>
            <w:r w:rsidR="00B37CAB">
              <w:rPr>
                <w:rFonts w:ascii="Arial" w:hAnsi="Arial" w:cs="Arial"/>
                <w:color w:val="000000"/>
                <w:sz w:val="20"/>
                <w:szCs w:val="20"/>
              </w:rPr>
              <w:t xml:space="preserve">hin that structure. Resolved. </w:t>
            </w: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F6A67" w:rsidRPr="000A3DFC" w14:paraId="534018AA" w14:textId="77777777" w:rsidTr="00AF6A67">
        <w:trPr>
          <w:jc w:val="center"/>
        </w:trPr>
        <w:tc>
          <w:tcPr>
            <w:tcW w:w="5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2BEA8B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 Discussion – Are there curricular proposals that could be Fast-Tracked?  </w:t>
            </w:r>
          </w:p>
          <w:p w14:paraId="48D1D606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Would these need review by the ICC chair?</w:t>
            </w:r>
          </w:p>
          <w:p w14:paraId="350C8404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314D25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Should there be reporting of all Fast-Tracked proposals to ICC/Senate?</w:t>
            </w:r>
          </w:p>
          <w:p w14:paraId="4A69470D" w14:textId="77777777" w:rsidR="00AF6A67" w:rsidRPr="00AF6A67" w:rsidRDefault="00AF6A67" w:rsidP="00AF6A67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D7A9EB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color w:val="000000"/>
                <w:sz w:val="20"/>
                <w:szCs w:val="20"/>
              </w:rPr>
              <w:t>Jodie will provide some materials at the meeting to aid our discussion.  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E814D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 Discussion</w:t>
            </w:r>
          </w:p>
          <w:p w14:paraId="32D33426" w14:textId="77777777" w:rsidR="00AF6A67" w:rsidRPr="00AF6A67" w:rsidRDefault="00AF6A67" w:rsidP="00AF6A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F6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Delayed</w:t>
            </w:r>
          </w:p>
          <w:p w14:paraId="6B847317" w14:textId="77777777" w:rsidR="00AF6A67" w:rsidRPr="00AF6A67" w:rsidRDefault="00AF6A67" w:rsidP="00AF6A67">
            <w:pPr>
              <w:widowControl w:val="0"/>
              <w:spacing w:after="2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CFF0D65" w14:textId="77777777" w:rsidR="00AF6A67" w:rsidRPr="00AF6A67" w:rsidRDefault="00AF6A67" w:rsidP="00AF6A67">
      <w:pPr>
        <w:widowControl w:val="0"/>
        <w:rPr>
          <w:rFonts w:ascii="Arial" w:eastAsia="Times New Roman" w:hAnsi="Arial" w:cs="Arial"/>
          <w:sz w:val="20"/>
          <w:szCs w:val="20"/>
        </w:rPr>
      </w:pPr>
    </w:p>
    <w:p w14:paraId="3FB1BB27" w14:textId="77777777" w:rsidR="0046075D" w:rsidRPr="000A3DFC" w:rsidRDefault="00AE42B7" w:rsidP="00AF6A67">
      <w:pPr>
        <w:widowControl w:val="0"/>
        <w:rPr>
          <w:rFonts w:ascii="Arial" w:hAnsi="Arial" w:cs="Arial"/>
          <w:sz w:val="20"/>
          <w:szCs w:val="20"/>
        </w:rPr>
      </w:pPr>
    </w:p>
    <w:sectPr w:rsidR="0046075D" w:rsidRPr="000A3DFC" w:rsidSect="00AF6A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67"/>
    <w:rsid w:val="000918AE"/>
    <w:rsid w:val="000A3DFC"/>
    <w:rsid w:val="00153787"/>
    <w:rsid w:val="003A6840"/>
    <w:rsid w:val="004E7E65"/>
    <w:rsid w:val="005725A9"/>
    <w:rsid w:val="006B6F8C"/>
    <w:rsid w:val="00704DB6"/>
    <w:rsid w:val="007623A2"/>
    <w:rsid w:val="008120EF"/>
    <w:rsid w:val="008F10E3"/>
    <w:rsid w:val="00A069B4"/>
    <w:rsid w:val="00AE42B7"/>
    <w:rsid w:val="00AF6A67"/>
    <w:rsid w:val="00B21F8F"/>
    <w:rsid w:val="00B3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09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A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F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1079</Words>
  <Characters>6155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Bruner</dc:creator>
  <cp:keywords/>
  <dc:description/>
  <cp:lastModifiedBy>Victoria Bruner</cp:lastModifiedBy>
  <cp:revision>2</cp:revision>
  <dcterms:created xsi:type="dcterms:W3CDTF">2016-04-06T05:12:00Z</dcterms:created>
  <dcterms:modified xsi:type="dcterms:W3CDTF">2016-04-06T05:12:00Z</dcterms:modified>
</cp:coreProperties>
</file>